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6AB43" w14:textId="4AD4A485" w:rsidR="0086276C" w:rsidRDefault="0086276C" w:rsidP="0039462F">
      <w:pPr>
        <w:tabs>
          <w:tab w:val="left" w:pos="3290"/>
        </w:tabs>
        <w:spacing w:before="120"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Éléments de correction du</w:t>
      </w:r>
      <w:r w:rsidR="001A50D6" w:rsidRPr="0039462F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="00924D49">
        <w:rPr>
          <w:rFonts w:ascii="Times New Roman" w:hAnsi="Times New Roman" w:cs="Times New Roman"/>
          <w:b/>
          <w:bCs/>
          <w:color w:val="000000" w:themeColor="text1"/>
          <w:sz w:val="28"/>
        </w:rPr>
        <w:t>DM</w:t>
      </w:r>
      <w:r w:rsidR="001A50D6" w:rsidRPr="0039462F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de biologie</w:t>
      </w:r>
    </w:p>
    <w:p w14:paraId="7AEA51F3" w14:textId="4B8ACD92" w:rsidR="003B7CD2" w:rsidRPr="0039462F" w:rsidRDefault="003230D3" w:rsidP="0039462F">
      <w:pPr>
        <w:tabs>
          <w:tab w:val="left" w:pos="3290"/>
        </w:tabs>
        <w:spacing w:before="120"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39462F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="0086276C">
        <w:rPr>
          <w:rFonts w:ascii="Times New Roman" w:hAnsi="Times New Roman" w:cs="Times New Roman"/>
          <w:b/>
          <w:bCs/>
          <w:color w:val="000000" w:themeColor="text1"/>
          <w:sz w:val="28"/>
        </w:rPr>
        <w:t>É</w:t>
      </w:r>
      <w:r w:rsidR="0086276C" w:rsidRPr="0039462F">
        <w:rPr>
          <w:rFonts w:ascii="Times New Roman" w:hAnsi="Times New Roman" w:cs="Times New Roman"/>
          <w:b/>
          <w:bCs/>
          <w:color w:val="000000" w:themeColor="text1"/>
          <w:sz w:val="28"/>
        </w:rPr>
        <w:t>tude</w:t>
      </w:r>
      <w:r w:rsidR="001A50D6" w:rsidRPr="0039462F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de la protéine prion</w:t>
      </w:r>
    </w:p>
    <w:p w14:paraId="3E7DB0E3" w14:textId="77777777" w:rsidR="00BC7C23" w:rsidRPr="002F6E59" w:rsidRDefault="00BC7C23" w:rsidP="003B7CD2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3910FE9" w14:textId="462F8CE6" w:rsidR="003B7CD2" w:rsidRDefault="003B7CD2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4A1C41D" w14:textId="77777777" w:rsidR="0039462F" w:rsidRDefault="0039462F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CED69BF" w14:textId="77777777" w:rsidR="0039462F" w:rsidRPr="002F6E59" w:rsidRDefault="0039462F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93D22FB" w14:textId="2973BF57" w:rsidR="003230D3" w:rsidRDefault="003230D3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AFE9CB9" w14:textId="77777777" w:rsidR="0039462F" w:rsidRDefault="0039462F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4CF6B55" w14:textId="77777777" w:rsidR="0039462F" w:rsidRPr="002F6E59" w:rsidRDefault="0039462F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880435F" w14:textId="4BA57A63" w:rsidR="003230D3" w:rsidRPr="002F6E59" w:rsidRDefault="003230D3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554493D" w14:textId="77777777" w:rsidR="00BC7C23" w:rsidRPr="002F6E59" w:rsidRDefault="00BC7C23" w:rsidP="00D15801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398"/>
      </w:tblGrid>
      <w:tr w:rsidR="00AA68CE" w:rsidRPr="0039462F" w14:paraId="26F55EAF" w14:textId="77777777" w:rsidTr="00AA68CE">
        <w:trPr>
          <w:trHeight w:val="1351"/>
        </w:trPr>
        <w:tc>
          <w:tcPr>
            <w:tcW w:w="10398" w:type="dxa"/>
          </w:tcPr>
          <w:p w14:paraId="7F4EB90D" w14:textId="0740ADCA" w:rsidR="00AA68CE" w:rsidRPr="0039462F" w:rsidRDefault="00AA68CE" w:rsidP="00A41BF6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L'infection est à l'origine d'une destruction des dendrites (A), d’une accumulation de la protéine prion dans le cerveau (B), de modifications cellulaires dans le cerveau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noyaux plus petits et modification de la forme cellulaire (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vacuolisation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) (C) et d’une réaction inflammatoire (D). </w:t>
            </w:r>
          </w:p>
        </w:tc>
      </w:tr>
      <w:tr w:rsidR="00AA68CE" w:rsidRPr="0039462F" w14:paraId="4A22B91D" w14:textId="77777777" w:rsidTr="00AA68CE">
        <w:trPr>
          <w:trHeight w:val="798"/>
        </w:trPr>
        <w:tc>
          <w:tcPr>
            <w:tcW w:w="10398" w:type="dxa"/>
          </w:tcPr>
          <w:p w14:paraId="38AD35EF" w14:textId="0999DC74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L’accumulation de protéine </w:t>
            </w:r>
            <w:r w:rsidRPr="0039462F">
              <w:rPr>
                <w:rFonts w:ascii="Times New Roman" w:hAnsi="Times New Roman" w:cs="Times New Roman"/>
                <w:iCs/>
                <w:sz w:val="24"/>
                <w:szCs w:val="24"/>
              </w:rPr>
              <w:t>scrapie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pourrait provoquer des lésions cérébrales à l'origine des symptômes de la maladie.</w:t>
            </w:r>
          </w:p>
        </w:tc>
      </w:tr>
      <w:tr w:rsidR="00AA68CE" w:rsidRPr="0039462F" w14:paraId="23A51FE8" w14:textId="77777777" w:rsidTr="00AA68CE">
        <w:trPr>
          <w:trHeight w:val="516"/>
        </w:trPr>
        <w:tc>
          <w:tcPr>
            <w:tcW w:w="10398" w:type="dxa"/>
          </w:tcPr>
          <w:p w14:paraId="35378A10" w14:textId="5AA2CC26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Cf. </w:t>
            </w:r>
            <w:proofErr w:type="gram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poly techniques</w:t>
            </w:r>
            <w:proofErr w:type="gram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d’étude 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protéines</w:t>
            </w:r>
          </w:p>
        </w:tc>
      </w:tr>
      <w:tr w:rsidR="00AA68CE" w:rsidRPr="0039462F" w14:paraId="7A679ADB" w14:textId="77777777" w:rsidTr="00AA68CE">
        <w:trPr>
          <w:trHeight w:val="1905"/>
        </w:trPr>
        <w:tc>
          <w:tcPr>
            <w:tcW w:w="10398" w:type="dxa"/>
          </w:tcPr>
          <w:p w14:paraId="17312C26" w14:textId="77777777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Organisme non infecté : présence d’une protéine prion d’environ 30 kDa (flèche du haut), détruite par la protéinase K.</w:t>
            </w:r>
          </w:p>
          <w:p w14:paraId="41C6438B" w14:textId="3E29AC22" w:rsidR="00AA68CE" w:rsidRPr="0039462F" w:rsidRDefault="00AA68CE" w:rsidP="0039462F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Organisme infecté : protéine prion de 30 kDa présente, en plus grande quantité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(d’où la bande très large)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. Le traitement à la protéinase K fait apparaître une protéine de plus faible MM (28 </w:t>
            </w:r>
            <w:proofErr w:type="gram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kDa</w:t>
            </w:r>
            <w:proofErr w:type="gram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, flèche du bas) : la protéine prion scrapie est donc partiellement résistante à l’hydrolyse par la protéinase K.</w:t>
            </w:r>
          </w:p>
        </w:tc>
      </w:tr>
      <w:tr w:rsidR="00AA68CE" w:rsidRPr="0039462F" w14:paraId="45A269A3" w14:textId="77777777" w:rsidTr="00AA68CE">
        <w:trPr>
          <w:trHeight w:val="1069"/>
        </w:trPr>
        <w:tc>
          <w:tcPr>
            <w:tcW w:w="10398" w:type="dxa"/>
          </w:tcPr>
          <w:p w14:paraId="49216389" w14:textId="30CC4AAD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Contrôle de charge des puits : marquer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lors du Western Blot 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une protéine de référence (actine, enzyme de la glycolyse, …) pour vérifier que les 4 puits du gel ont été chargés avec des quantités équivalentes de protéines</w:t>
            </w:r>
          </w:p>
        </w:tc>
      </w:tr>
      <w:tr w:rsidR="00AA68CE" w:rsidRPr="0039462F" w14:paraId="59B14D86" w14:textId="77777777" w:rsidTr="00AA68CE">
        <w:trPr>
          <w:trHeight w:val="2470"/>
        </w:trPr>
        <w:tc>
          <w:tcPr>
            <w:tcW w:w="10398" w:type="dxa"/>
          </w:tcPr>
          <w:p w14:paraId="6A65FA17" w14:textId="11795C02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ont des conformations = structures III différentes.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présente 14 fois plus de feuillets β / 3 fois plus de tours / 25% de moins d’hélices α / 2 fois moins de coudes que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7E77C2" w14:textId="34EF727B" w:rsidR="00AA68CE" w:rsidRPr="0039462F" w:rsidRDefault="00AA68CE" w:rsidP="0039462F">
            <w:pPr>
              <w:pStyle w:val="Paragraphedeliste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La protéinase K est une enzyme, dont le site actif est stéréospécifique de son substrat : moins bonne reconnaissance de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que de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=&gt; résistance de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à la protéinase K.</w:t>
            </w:r>
          </w:p>
          <w:p w14:paraId="1EF3A10D" w14:textId="22C06737" w:rsidR="00AA68CE" w:rsidRPr="0039462F" w:rsidRDefault="00AA68CE" w:rsidP="0039462F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La présence d’hélices α sur l’extérieur de la protéine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et de feuillets β en son centre peut faciliter les interactions entre protéines =&gt; agglomération de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, ce qui peut aussi participer à sa résistance à la protéinase K.</w:t>
            </w:r>
          </w:p>
        </w:tc>
      </w:tr>
      <w:tr w:rsidR="00AA68CE" w:rsidRPr="0039462F" w14:paraId="0A005426" w14:textId="77777777" w:rsidTr="00AA68CE">
        <w:trPr>
          <w:trHeight w:val="1069"/>
        </w:trPr>
        <w:tc>
          <w:tcPr>
            <w:tcW w:w="10398" w:type="dxa"/>
          </w:tcPr>
          <w:p w14:paraId="7155C44E" w14:textId="1C422EF7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 est présente en quantité équivalente quel que soit le temps d’incubation par le microbiote :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SC</w:t>
            </w:r>
            <w:proofErr w:type="spellEnd"/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n’est pas digérée par les microorganismes, elle peut donc être absorbée par l'organisme et s'accumuler dans le cerveau, d'où son potentiel infectieux.</w:t>
            </w:r>
          </w:p>
        </w:tc>
      </w:tr>
      <w:tr w:rsidR="00AA68CE" w:rsidRPr="0039462F" w14:paraId="4F0F4142" w14:textId="77777777" w:rsidTr="00AA68CE">
        <w:trPr>
          <w:trHeight w:val="516"/>
        </w:trPr>
        <w:tc>
          <w:tcPr>
            <w:tcW w:w="10398" w:type="dxa"/>
          </w:tcPr>
          <w:p w14:paraId="13BA0625" w14:textId="7967E972" w:rsidR="00AA68CE" w:rsidRPr="0039462F" w:rsidRDefault="00AA68CE" w:rsidP="0039462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2F">
              <w:rPr>
                <w:rFonts w:ascii="Times New Roman" w:hAnsi="Times New Roman" w:cs="Times New Roman"/>
                <w:sz w:val="24"/>
                <w:szCs w:val="24"/>
              </w:rPr>
              <w:t xml:space="preserve">Contrôle de charge et expérience identique avec </w:t>
            </w:r>
            <w:proofErr w:type="spellStart"/>
            <w:r w:rsidRPr="0039462F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3946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</w:tbl>
    <w:p w14:paraId="7DB77DD8" w14:textId="57E5013D" w:rsidR="00C74CFA" w:rsidRPr="002F6E59" w:rsidRDefault="00C74CF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C74CFA" w:rsidRPr="002F6E59" w:rsidSect="00D15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44E7"/>
    <w:multiLevelType w:val="hybridMultilevel"/>
    <w:tmpl w:val="C91CB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DF3"/>
    <w:multiLevelType w:val="hybridMultilevel"/>
    <w:tmpl w:val="6FF449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FC7"/>
    <w:multiLevelType w:val="hybridMultilevel"/>
    <w:tmpl w:val="324008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6A9A"/>
    <w:multiLevelType w:val="hybridMultilevel"/>
    <w:tmpl w:val="21A63F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F3A70"/>
    <w:multiLevelType w:val="hybridMultilevel"/>
    <w:tmpl w:val="313C40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5261C"/>
    <w:multiLevelType w:val="hybridMultilevel"/>
    <w:tmpl w:val="64408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4B5A"/>
    <w:multiLevelType w:val="hybridMultilevel"/>
    <w:tmpl w:val="0F300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81C"/>
    <w:multiLevelType w:val="hybridMultilevel"/>
    <w:tmpl w:val="8034E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B19C6"/>
    <w:multiLevelType w:val="hybridMultilevel"/>
    <w:tmpl w:val="04E883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40D2"/>
    <w:multiLevelType w:val="hybridMultilevel"/>
    <w:tmpl w:val="8494C3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1EE5"/>
    <w:multiLevelType w:val="hybridMultilevel"/>
    <w:tmpl w:val="541C4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404C0"/>
    <w:multiLevelType w:val="hybridMultilevel"/>
    <w:tmpl w:val="C2E2C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BF1"/>
    <w:multiLevelType w:val="hybridMultilevel"/>
    <w:tmpl w:val="ED5A49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6FD4"/>
    <w:multiLevelType w:val="hybridMultilevel"/>
    <w:tmpl w:val="F93E7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14399"/>
    <w:multiLevelType w:val="hybridMultilevel"/>
    <w:tmpl w:val="B7B082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A3A0E"/>
    <w:multiLevelType w:val="hybridMultilevel"/>
    <w:tmpl w:val="425649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17"/>
    <w:rsid w:val="000168BD"/>
    <w:rsid w:val="000330DF"/>
    <w:rsid w:val="000335EB"/>
    <w:rsid w:val="0005231F"/>
    <w:rsid w:val="00074B95"/>
    <w:rsid w:val="000822AE"/>
    <w:rsid w:val="000B4147"/>
    <w:rsid w:val="000D6DC9"/>
    <w:rsid w:val="000E2932"/>
    <w:rsid w:val="00120233"/>
    <w:rsid w:val="00141CF3"/>
    <w:rsid w:val="001630D7"/>
    <w:rsid w:val="00163549"/>
    <w:rsid w:val="001A2D58"/>
    <w:rsid w:val="001A50D6"/>
    <w:rsid w:val="001C763D"/>
    <w:rsid w:val="001D138E"/>
    <w:rsid w:val="001D7ED3"/>
    <w:rsid w:val="002162E8"/>
    <w:rsid w:val="00216FC7"/>
    <w:rsid w:val="002546FE"/>
    <w:rsid w:val="00267AED"/>
    <w:rsid w:val="00280CEB"/>
    <w:rsid w:val="00281548"/>
    <w:rsid w:val="00291677"/>
    <w:rsid w:val="002A6556"/>
    <w:rsid w:val="002D41C3"/>
    <w:rsid w:val="002E4C26"/>
    <w:rsid w:val="002F6E59"/>
    <w:rsid w:val="00320FE5"/>
    <w:rsid w:val="003230D3"/>
    <w:rsid w:val="00323356"/>
    <w:rsid w:val="00385BAF"/>
    <w:rsid w:val="0039462F"/>
    <w:rsid w:val="003B7CD2"/>
    <w:rsid w:val="003C6D7E"/>
    <w:rsid w:val="004139C9"/>
    <w:rsid w:val="00434993"/>
    <w:rsid w:val="00441743"/>
    <w:rsid w:val="004456D1"/>
    <w:rsid w:val="00476713"/>
    <w:rsid w:val="00486F92"/>
    <w:rsid w:val="00487D06"/>
    <w:rsid w:val="004936D3"/>
    <w:rsid w:val="004D287B"/>
    <w:rsid w:val="005023A4"/>
    <w:rsid w:val="00515AF0"/>
    <w:rsid w:val="005223E9"/>
    <w:rsid w:val="00586B16"/>
    <w:rsid w:val="00595954"/>
    <w:rsid w:val="005B6157"/>
    <w:rsid w:val="005D6354"/>
    <w:rsid w:val="00602F1E"/>
    <w:rsid w:val="00636B01"/>
    <w:rsid w:val="00643517"/>
    <w:rsid w:val="00670C72"/>
    <w:rsid w:val="006748EC"/>
    <w:rsid w:val="00677F93"/>
    <w:rsid w:val="00681DCE"/>
    <w:rsid w:val="00687B23"/>
    <w:rsid w:val="00687DFC"/>
    <w:rsid w:val="00690545"/>
    <w:rsid w:val="006909CE"/>
    <w:rsid w:val="0069347A"/>
    <w:rsid w:val="006A4758"/>
    <w:rsid w:val="006F5024"/>
    <w:rsid w:val="007128BB"/>
    <w:rsid w:val="007262D8"/>
    <w:rsid w:val="00737086"/>
    <w:rsid w:val="0074707C"/>
    <w:rsid w:val="007570DB"/>
    <w:rsid w:val="007670E0"/>
    <w:rsid w:val="0077736A"/>
    <w:rsid w:val="00781FD9"/>
    <w:rsid w:val="007D27E5"/>
    <w:rsid w:val="008252D7"/>
    <w:rsid w:val="00845BF4"/>
    <w:rsid w:val="0086276C"/>
    <w:rsid w:val="00883E8C"/>
    <w:rsid w:val="00886DA3"/>
    <w:rsid w:val="008A1FD1"/>
    <w:rsid w:val="008A4332"/>
    <w:rsid w:val="008B5258"/>
    <w:rsid w:val="008C1A4A"/>
    <w:rsid w:val="008E7BAE"/>
    <w:rsid w:val="00924D49"/>
    <w:rsid w:val="009409EA"/>
    <w:rsid w:val="009A0202"/>
    <w:rsid w:val="009A5491"/>
    <w:rsid w:val="009B49BC"/>
    <w:rsid w:val="009B5441"/>
    <w:rsid w:val="009C1BE8"/>
    <w:rsid w:val="00A03017"/>
    <w:rsid w:val="00A1119B"/>
    <w:rsid w:val="00A35107"/>
    <w:rsid w:val="00A37A39"/>
    <w:rsid w:val="00A41BF6"/>
    <w:rsid w:val="00AA3CC8"/>
    <w:rsid w:val="00AA68CE"/>
    <w:rsid w:val="00AC38CC"/>
    <w:rsid w:val="00AF52D9"/>
    <w:rsid w:val="00B05E2C"/>
    <w:rsid w:val="00B10CB7"/>
    <w:rsid w:val="00B17E4F"/>
    <w:rsid w:val="00B37894"/>
    <w:rsid w:val="00B53E85"/>
    <w:rsid w:val="00B55CD2"/>
    <w:rsid w:val="00B563B3"/>
    <w:rsid w:val="00B5666C"/>
    <w:rsid w:val="00B64D51"/>
    <w:rsid w:val="00B83CF0"/>
    <w:rsid w:val="00BA0D8B"/>
    <w:rsid w:val="00BB5B46"/>
    <w:rsid w:val="00BC7C23"/>
    <w:rsid w:val="00BD0A43"/>
    <w:rsid w:val="00BE0469"/>
    <w:rsid w:val="00BE2809"/>
    <w:rsid w:val="00BE2BAF"/>
    <w:rsid w:val="00BF37EF"/>
    <w:rsid w:val="00C07085"/>
    <w:rsid w:val="00C12B50"/>
    <w:rsid w:val="00C4385C"/>
    <w:rsid w:val="00C6365B"/>
    <w:rsid w:val="00C67AA3"/>
    <w:rsid w:val="00C74CFA"/>
    <w:rsid w:val="00C80B2F"/>
    <w:rsid w:val="00C87E0E"/>
    <w:rsid w:val="00C953A6"/>
    <w:rsid w:val="00C95930"/>
    <w:rsid w:val="00CB2AC5"/>
    <w:rsid w:val="00CD35F6"/>
    <w:rsid w:val="00CD54E7"/>
    <w:rsid w:val="00CE5AC1"/>
    <w:rsid w:val="00CF4DC6"/>
    <w:rsid w:val="00D0598B"/>
    <w:rsid w:val="00D156F0"/>
    <w:rsid w:val="00D15801"/>
    <w:rsid w:val="00D62B0A"/>
    <w:rsid w:val="00D756EB"/>
    <w:rsid w:val="00D828D9"/>
    <w:rsid w:val="00D82B0A"/>
    <w:rsid w:val="00DA2C7E"/>
    <w:rsid w:val="00DC2410"/>
    <w:rsid w:val="00DC7739"/>
    <w:rsid w:val="00DF7FD5"/>
    <w:rsid w:val="00E1022E"/>
    <w:rsid w:val="00E14BAB"/>
    <w:rsid w:val="00E25528"/>
    <w:rsid w:val="00E315C0"/>
    <w:rsid w:val="00E347F8"/>
    <w:rsid w:val="00E82F0B"/>
    <w:rsid w:val="00E848B4"/>
    <w:rsid w:val="00E85F43"/>
    <w:rsid w:val="00EA706F"/>
    <w:rsid w:val="00EA7F41"/>
    <w:rsid w:val="00EC0935"/>
    <w:rsid w:val="00EC2437"/>
    <w:rsid w:val="00ED40AE"/>
    <w:rsid w:val="00EF304B"/>
    <w:rsid w:val="00F1720B"/>
    <w:rsid w:val="00F3338C"/>
    <w:rsid w:val="00F3626F"/>
    <w:rsid w:val="00F85813"/>
    <w:rsid w:val="00FA33D0"/>
    <w:rsid w:val="00FC025D"/>
    <w:rsid w:val="00FC2B65"/>
    <w:rsid w:val="00F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84EA1"/>
  <w15:docId w15:val="{2D2A433E-050E-4E54-97D6-1B5A668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80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905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05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05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05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05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54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C71E-2902-40D5-8484-35101E9B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Bohn</dc:creator>
  <cp:keywords/>
  <dc:description/>
  <cp:lastModifiedBy>Marie Labrousse</cp:lastModifiedBy>
  <cp:revision>6</cp:revision>
  <cp:lastPrinted>2023-09-30T12:43:00Z</cp:lastPrinted>
  <dcterms:created xsi:type="dcterms:W3CDTF">2025-12-17T08:37:00Z</dcterms:created>
  <dcterms:modified xsi:type="dcterms:W3CDTF">2025-12-17T08:38:00Z</dcterms:modified>
</cp:coreProperties>
</file>